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91" w:rsidRDefault="00495691" w:rsidP="000F5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36C" w:rsidRPr="00495691" w:rsidRDefault="00495691" w:rsidP="00495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95691">
        <w:rPr>
          <w:rFonts w:ascii="Times New Roman,Bold" w:hAnsi="Times New Roman,Bold" w:cs="Times New Roman,Bold"/>
          <w:b/>
          <w:bCs/>
          <w:sz w:val="28"/>
          <w:szCs w:val="28"/>
        </w:rPr>
        <w:t>ПРИМЕЧАНИЕ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0F536C" w:rsidRPr="00495691">
        <w:rPr>
          <w:rFonts w:ascii="Times New Roman,Bold" w:hAnsi="Times New Roman,Bold" w:cs="Times New Roman,Bold"/>
          <w:b/>
          <w:bCs/>
          <w:sz w:val="28"/>
          <w:szCs w:val="28"/>
        </w:rPr>
        <w:t>К БУХГАЛТЕРСКОЙ ОТЧЕТНОСТИ</w:t>
      </w:r>
    </w:p>
    <w:p w:rsidR="000F536C" w:rsidRDefault="000F536C" w:rsidP="00495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 годовому бухгалтерскому балансу по ОАО «</w:t>
      </w:r>
      <w:r w:rsidR="00495691">
        <w:rPr>
          <w:rFonts w:ascii="Times New Roman,Bold" w:hAnsi="Times New Roman,Bold" w:cs="Times New Roman,Bold"/>
          <w:b/>
          <w:bCs/>
          <w:sz w:val="28"/>
          <w:szCs w:val="28"/>
        </w:rPr>
        <w:t>Новая Нива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</w:p>
    <w:p w:rsidR="000F536C" w:rsidRDefault="000F536C" w:rsidP="00495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за 20</w:t>
      </w:r>
      <w:r w:rsidR="00495691">
        <w:rPr>
          <w:rFonts w:ascii="Times New Roman,Bold" w:hAnsi="Times New Roman,Bold" w:cs="Times New Roman,Bold"/>
          <w:b/>
          <w:bCs/>
          <w:sz w:val="28"/>
          <w:szCs w:val="28"/>
        </w:rPr>
        <w:t>24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год.</w:t>
      </w:r>
    </w:p>
    <w:p w:rsidR="00CA4231" w:rsidRDefault="00CA4231" w:rsidP="00495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0F536C" w:rsidRDefault="000F536C" w:rsidP="00BC341F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Информационная часть</w:t>
      </w:r>
    </w:p>
    <w:p w:rsidR="000F536C" w:rsidRDefault="000F536C" w:rsidP="00BC341F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 Краткая характеристика деятельности организации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r w:rsidR="00C401CE">
        <w:rPr>
          <w:rFonts w:ascii="Times New Roman" w:hAnsi="Times New Roman" w:cs="Times New Roman"/>
          <w:sz w:val="28"/>
          <w:szCs w:val="28"/>
        </w:rPr>
        <w:t>Новая Нива</w:t>
      </w:r>
      <w:r>
        <w:rPr>
          <w:rFonts w:ascii="Times New Roman" w:hAnsi="Times New Roman" w:cs="Times New Roman"/>
          <w:sz w:val="28"/>
          <w:szCs w:val="28"/>
        </w:rPr>
        <w:t xml:space="preserve">» (далее – Общество) образовано в соответствии с Решением </w:t>
      </w:r>
      <w:proofErr w:type="spellStart"/>
      <w:r w:rsidR="00C401CE">
        <w:rPr>
          <w:rFonts w:ascii="Times New Roman" w:hAnsi="Times New Roman" w:cs="Times New Roman"/>
          <w:sz w:val="28"/>
          <w:szCs w:val="28"/>
        </w:rPr>
        <w:t>Лельчицкого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№</w:t>
      </w:r>
      <w:r w:rsidR="00C401CE">
        <w:rPr>
          <w:rFonts w:ascii="Times New Roman" w:hAnsi="Times New Roman" w:cs="Times New Roman"/>
          <w:sz w:val="28"/>
          <w:szCs w:val="28"/>
        </w:rPr>
        <w:t>1033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401C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C401CE">
        <w:rPr>
          <w:rFonts w:ascii="Times New Roman" w:hAnsi="Times New Roman" w:cs="Times New Roman"/>
          <w:sz w:val="28"/>
          <w:szCs w:val="28"/>
        </w:rPr>
        <w:t>12г.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Обществу присвоен УНП </w:t>
      </w:r>
      <w:r w:rsidR="00C401CE">
        <w:rPr>
          <w:rFonts w:ascii="Times New Roman" w:hAnsi="Times New Roman" w:cs="Times New Roman"/>
          <w:sz w:val="28"/>
          <w:szCs w:val="28"/>
        </w:rPr>
        <w:t>400013035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1CE">
        <w:rPr>
          <w:rFonts w:ascii="Times New Roman" w:hAnsi="Times New Roman" w:cs="Times New Roman"/>
          <w:sz w:val="28"/>
          <w:szCs w:val="28"/>
        </w:rPr>
        <w:t xml:space="preserve">247860 </w:t>
      </w:r>
      <w:proofErr w:type="spellStart"/>
      <w:r w:rsidR="00C401CE">
        <w:rPr>
          <w:rFonts w:ascii="Times New Roman" w:hAnsi="Times New Roman" w:cs="Times New Roman"/>
          <w:sz w:val="28"/>
          <w:szCs w:val="28"/>
        </w:rPr>
        <w:t>аг.Липляны</w:t>
      </w:r>
      <w:proofErr w:type="spellEnd"/>
      <w:r w:rsidR="00C401CE">
        <w:rPr>
          <w:rFonts w:ascii="Times New Roman" w:hAnsi="Times New Roman" w:cs="Times New Roman"/>
          <w:sz w:val="28"/>
          <w:szCs w:val="28"/>
        </w:rPr>
        <w:t xml:space="preserve"> ул.Заводская,41 Лельчицкий р-н Гомельская обл..</w:t>
      </w:r>
    </w:p>
    <w:p w:rsidR="00C401CE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1CE">
        <w:rPr>
          <w:rFonts w:ascii="Times New Roman" w:hAnsi="Times New Roman" w:cs="Times New Roman"/>
          <w:sz w:val="28"/>
          <w:szCs w:val="28"/>
        </w:rPr>
        <w:t xml:space="preserve">247860 </w:t>
      </w:r>
      <w:proofErr w:type="spellStart"/>
      <w:r w:rsidR="00C401CE">
        <w:rPr>
          <w:rFonts w:ascii="Times New Roman" w:hAnsi="Times New Roman" w:cs="Times New Roman"/>
          <w:sz w:val="28"/>
          <w:szCs w:val="28"/>
        </w:rPr>
        <w:t>аг.Липляны</w:t>
      </w:r>
      <w:proofErr w:type="spellEnd"/>
      <w:r w:rsidR="00C401CE">
        <w:rPr>
          <w:rFonts w:ascii="Times New Roman" w:hAnsi="Times New Roman" w:cs="Times New Roman"/>
          <w:sz w:val="28"/>
          <w:szCs w:val="28"/>
        </w:rPr>
        <w:t xml:space="preserve"> ул.Заводская,41 Лельчицкий р-н Гомельская обл..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49569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году основным видом хозяйственной деятельности является в соответствии с ОКЭД:</w:t>
      </w:r>
    </w:p>
    <w:p w:rsidR="00C401CE" w:rsidRDefault="00C401CE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01410 – производство КРС;</w:t>
      </w:r>
    </w:p>
    <w:p w:rsidR="00C401CE" w:rsidRDefault="00C401CE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01460 – производство свиней;</w:t>
      </w:r>
    </w:p>
    <w:p w:rsidR="00C401CE" w:rsidRDefault="00C401CE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10110 – производство мяса;</w:t>
      </w:r>
    </w:p>
    <w:p w:rsidR="00C401CE" w:rsidRDefault="00C401CE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01111 – выращивание зерновых и зернобобовых;</w:t>
      </w:r>
    </w:p>
    <w:p w:rsidR="00C401CE" w:rsidRDefault="00C401CE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10910 – производство кормов.</w:t>
      </w:r>
    </w:p>
    <w:p w:rsidR="00BC341F" w:rsidRDefault="00C401CE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536C">
        <w:rPr>
          <w:rFonts w:ascii="Times New Roman" w:hAnsi="Times New Roman" w:cs="Times New Roman"/>
          <w:sz w:val="28"/>
          <w:szCs w:val="28"/>
        </w:rPr>
        <w:t>реднесписочная численность работников за 20</w:t>
      </w:r>
      <w:r w:rsidR="00495691">
        <w:rPr>
          <w:rFonts w:ascii="Times New Roman" w:hAnsi="Times New Roman" w:cs="Times New Roman"/>
          <w:sz w:val="28"/>
          <w:szCs w:val="28"/>
        </w:rPr>
        <w:t>24</w:t>
      </w:r>
      <w:r w:rsidR="000F536C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 w:rsidR="00495691">
        <w:rPr>
          <w:rFonts w:ascii="Times New Roman" w:hAnsi="Times New Roman" w:cs="Times New Roman"/>
          <w:sz w:val="28"/>
          <w:szCs w:val="28"/>
        </w:rPr>
        <w:t>168</w:t>
      </w:r>
      <w:r w:rsidR="000F536C">
        <w:rPr>
          <w:rFonts w:ascii="Times New Roman" w:hAnsi="Times New Roman" w:cs="Times New Roman"/>
          <w:sz w:val="28"/>
          <w:szCs w:val="28"/>
        </w:rPr>
        <w:t xml:space="preserve"> </w:t>
      </w:r>
      <w:r w:rsidR="00495691">
        <w:rPr>
          <w:rFonts w:ascii="Times New Roman" w:hAnsi="Times New Roman" w:cs="Times New Roman"/>
          <w:sz w:val="28"/>
          <w:szCs w:val="28"/>
        </w:rPr>
        <w:t>человек</w:t>
      </w:r>
      <w:r w:rsidR="000F536C">
        <w:rPr>
          <w:rFonts w:ascii="Times New Roman" w:hAnsi="Times New Roman" w:cs="Times New Roman"/>
          <w:sz w:val="28"/>
          <w:szCs w:val="28"/>
        </w:rPr>
        <w:t>.</w:t>
      </w:r>
      <w:r w:rsidR="004D29C6">
        <w:rPr>
          <w:rFonts w:ascii="Times New Roman" w:hAnsi="Times New Roman" w:cs="Times New Roman"/>
          <w:sz w:val="28"/>
          <w:szCs w:val="28"/>
        </w:rPr>
        <w:t xml:space="preserve"> </w:t>
      </w:r>
      <w:r w:rsidR="000F536C">
        <w:rPr>
          <w:rFonts w:ascii="Times New Roman" w:hAnsi="Times New Roman" w:cs="Times New Roman"/>
          <w:sz w:val="28"/>
          <w:szCs w:val="28"/>
        </w:rPr>
        <w:t>Общество является частной организацией с контрольным пакетом акций у государства (</w:t>
      </w:r>
      <w:r w:rsidR="00495691">
        <w:rPr>
          <w:rFonts w:ascii="Times New Roman" w:hAnsi="Times New Roman" w:cs="Times New Roman"/>
          <w:sz w:val="28"/>
          <w:szCs w:val="28"/>
        </w:rPr>
        <w:t>100</w:t>
      </w:r>
      <w:r w:rsidR="000F536C">
        <w:rPr>
          <w:rFonts w:ascii="Times New Roman" w:hAnsi="Times New Roman" w:cs="Times New Roman"/>
          <w:sz w:val="28"/>
          <w:szCs w:val="28"/>
        </w:rPr>
        <w:t xml:space="preserve">%). Уставный фонд Общества согласно Уставу составляет </w:t>
      </w:r>
      <w:r w:rsidR="004D29C6">
        <w:rPr>
          <w:rFonts w:ascii="Times New Roman" w:hAnsi="Times New Roman" w:cs="Times New Roman"/>
          <w:sz w:val="28"/>
          <w:szCs w:val="28"/>
        </w:rPr>
        <w:t>9375802,60</w:t>
      </w:r>
      <w:r w:rsidR="000F536C">
        <w:rPr>
          <w:rFonts w:ascii="Times New Roman" w:hAnsi="Times New Roman" w:cs="Times New Roman"/>
          <w:sz w:val="28"/>
          <w:szCs w:val="28"/>
        </w:rPr>
        <w:t xml:space="preserve"> (</w:t>
      </w:r>
      <w:r w:rsidR="004D29C6">
        <w:rPr>
          <w:rFonts w:ascii="Times New Roman" w:hAnsi="Times New Roman" w:cs="Times New Roman"/>
          <w:sz w:val="28"/>
          <w:szCs w:val="28"/>
        </w:rPr>
        <w:t>Девять миллионов триста семьдесят пять тысяч восемьсот два</w:t>
      </w:r>
      <w:r w:rsidR="000F536C">
        <w:rPr>
          <w:rFonts w:ascii="Times New Roman" w:hAnsi="Times New Roman" w:cs="Times New Roman"/>
          <w:sz w:val="28"/>
          <w:szCs w:val="28"/>
        </w:rPr>
        <w:t xml:space="preserve">) белорусских рублей </w:t>
      </w:r>
      <w:r w:rsidR="004D29C6">
        <w:rPr>
          <w:rFonts w:ascii="Times New Roman" w:hAnsi="Times New Roman" w:cs="Times New Roman"/>
          <w:sz w:val="28"/>
          <w:szCs w:val="28"/>
        </w:rPr>
        <w:t>60 копеек</w:t>
      </w:r>
      <w:r w:rsidR="000F536C">
        <w:rPr>
          <w:rFonts w:ascii="Times New Roman" w:hAnsi="Times New Roman" w:cs="Times New Roman"/>
          <w:sz w:val="28"/>
          <w:szCs w:val="28"/>
        </w:rPr>
        <w:t xml:space="preserve"> и разделен на </w:t>
      </w:r>
      <w:r w:rsidR="004D29C6">
        <w:rPr>
          <w:rFonts w:ascii="Times New Roman" w:hAnsi="Times New Roman" w:cs="Times New Roman"/>
          <w:sz w:val="28"/>
          <w:szCs w:val="28"/>
        </w:rPr>
        <w:t>93 758 026</w:t>
      </w:r>
      <w:r w:rsidR="000F536C">
        <w:rPr>
          <w:rFonts w:ascii="Times New Roman" w:hAnsi="Times New Roman" w:cs="Times New Roman"/>
          <w:sz w:val="28"/>
          <w:szCs w:val="28"/>
        </w:rPr>
        <w:t xml:space="preserve"> простых (обыкновенных) </w:t>
      </w:r>
      <w:proofErr w:type="gramStart"/>
      <w:r w:rsidR="000F536C">
        <w:rPr>
          <w:rFonts w:ascii="Times New Roman" w:hAnsi="Times New Roman" w:cs="Times New Roman"/>
          <w:sz w:val="28"/>
          <w:szCs w:val="28"/>
        </w:rPr>
        <w:t>акций .</w:t>
      </w:r>
      <w:proofErr w:type="gramEnd"/>
    </w:p>
    <w:p w:rsidR="00BC341F" w:rsidRDefault="000F536C" w:rsidP="00BC341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выпускаются в форме записей на счетах.</w:t>
      </w:r>
    </w:p>
    <w:p w:rsidR="000F536C" w:rsidRDefault="000F536C" w:rsidP="00BC341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организация обслуживалась в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Белагропромбанк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95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691"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код BAPBBY2X:</w:t>
      </w:r>
    </w:p>
    <w:p w:rsidR="00BC341F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текущий (расчетный) счет в бел. рублях 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BY</w:t>
      </w:r>
      <w:r w:rsidR="0049569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BAPB3012</w:t>
      </w:r>
      <w:r w:rsidR="00495691">
        <w:rPr>
          <w:rFonts w:ascii="Times New Roman" w:hAnsi="Times New Roman" w:cs="Times New Roman"/>
          <w:sz w:val="28"/>
          <w:szCs w:val="28"/>
        </w:rPr>
        <w:t>2360904230000000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Совместную деятельность организация не осуществляет.</w:t>
      </w:r>
    </w:p>
    <w:p w:rsidR="000F536C" w:rsidRDefault="000F536C" w:rsidP="00BC341F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2.Информация об учетной политике Общества.</w:t>
      </w:r>
    </w:p>
    <w:p w:rsidR="004D29C6" w:rsidRPr="004D29C6" w:rsidRDefault="000F536C" w:rsidP="00BC341F">
      <w:pPr>
        <w:pStyle w:val="justify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Учетная политика Общества на 20</w:t>
      </w:r>
      <w:r w:rsidR="00495691">
        <w:rPr>
          <w:sz w:val="28"/>
          <w:szCs w:val="28"/>
        </w:rPr>
        <w:t>24</w:t>
      </w:r>
      <w:r>
        <w:rPr>
          <w:sz w:val="28"/>
          <w:szCs w:val="28"/>
        </w:rPr>
        <w:t xml:space="preserve"> год утверждена приказом по предприятию, директором от </w:t>
      </w:r>
      <w:r w:rsidR="004D29C6">
        <w:rPr>
          <w:sz w:val="28"/>
          <w:szCs w:val="28"/>
        </w:rPr>
        <w:t>27.12.2022 №199.</w:t>
      </w:r>
      <w:r>
        <w:rPr>
          <w:sz w:val="28"/>
          <w:szCs w:val="28"/>
        </w:rPr>
        <w:t xml:space="preserve"> </w:t>
      </w:r>
      <w:r w:rsidRPr="004D29C6">
        <w:rPr>
          <w:sz w:val="28"/>
          <w:szCs w:val="28"/>
        </w:rPr>
        <w:t xml:space="preserve">Согласно учетной политики </w:t>
      </w:r>
      <w:r w:rsidR="004D29C6" w:rsidRPr="004D29C6">
        <w:rPr>
          <w:sz w:val="28"/>
          <w:szCs w:val="28"/>
        </w:rPr>
        <w:t>момент фактической реализации товаров (работ, услуг), имущественных прав опреде</w:t>
      </w:r>
      <w:r w:rsidR="004D29C6" w:rsidRPr="004D29C6">
        <w:rPr>
          <w:sz w:val="28"/>
          <w:szCs w:val="28"/>
        </w:rPr>
        <w:lastRenderedPageBreak/>
        <w:t xml:space="preserve">ляется как приходящийся на отчетный период день отгрузки товаров (выполнения работ, оказания услуг), передачи имущественных прав независимо от даты проведения расчетов по ним, если иное не установлено главой 14 </w:t>
      </w:r>
      <w:proofErr w:type="gramStart"/>
      <w:r w:rsidR="004D29C6" w:rsidRPr="004D29C6">
        <w:rPr>
          <w:sz w:val="28"/>
          <w:szCs w:val="28"/>
        </w:rPr>
        <w:t>НК.(</w:t>
      </w:r>
      <w:proofErr w:type="gramEnd"/>
      <w:r w:rsidR="004D29C6" w:rsidRPr="004D29C6">
        <w:rPr>
          <w:sz w:val="28"/>
          <w:szCs w:val="28"/>
        </w:rPr>
        <w:t>п.1 ст.121 НК)</w:t>
      </w:r>
    </w:p>
    <w:p w:rsidR="004D29C6" w:rsidRPr="004D29C6" w:rsidRDefault="004D29C6" w:rsidP="00BC341F">
      <w:pPr>
        <w:pStyle w:val="justify"/>
        <w:spacing w:line="276" w:lineRule="auto"/>
        <w:rPr>
          <w:sz w:val="28"/>
          <w:szCs w:val="28"/>
        </w:rPr>
      </w:pPr>
      <w:r w:rsidRPr="004D29C6">
        <w:rPr>
          <w:sz w:val="28"/>
          <w:szCs w:val="28"/>
        </w:rPr>
        <w:t>Днем отгрузки товаров признаются:</w:t>
      </w:r>
    </w:p>
    <w:p w:rsidR="000F536C" w:rsidRPr="004D29C6" w:rsidRDefault="004D29C6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4D29C6">
        <w:rPr>
          <w:rFonts w:ascii="Times New Roman" w:hAnsi="Times New Roman" w:cs="Times New Roman"/>
          <w:sz w:val="28"/>
          <w:szCs w:val="28"/>
        </w:rPr>
        <w:t>• Датой отгрузки продукции, товаров для целей бухгалтерского и налогового учета является дата их отпуска покупателю со склада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2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ведется в соответствии с Законом «Об бухгалтерском учете». На предприятии применяется комбинированная форма ведения бухгалтерского учета с уче</w:t>
      </w:r>
      <w:r w:rsidR="004D29C6">
        <w:rPr>
          <w:rFonts w:ascii="Times New Roman" w:hAnsi="Times New Roman" w:cs="Times New Roman"/>
          <w:sz w:val="28"/>
          <w:szCs w:val="28"/>
        </w:rPr>
        <w:t>том применения программы «</w:t>
      </w:r>
      <w:r w:rsidR="00495691">
        <w:rPr>
          <w:rFonts w:ascii="Times New Roman" w:hAnsi="Times New Roman" w:cs="Times New Roman"/>
          <w:sz w:val="28"/>
          <w:szCs w:val="28"/>
        </w:rPr>
        <w:t>Нива</w:t>
      </w:r>
      <w:r w:rsidR="004D29C6">
        <w:rPr>
          <w:rFonts w:ascii="Times New Roman" w:hAnsi="Times New Roman" w:cs="Times New Roman"/>
          <w:sz w:val="28"/>
          <w:szCs w:val="28"/>
        </w:rPr>
        <w:t xml:space="preserve"> СХ</w:t>
      </w:r>
      <w:r>
        <w:rPr>
          <w:rFonts w:ascii="Times New Roman" w:hAnsi="Times New Roman" w:cs="Times New Roman"/>
          <w:sz w:val="28"/>
          <w:szCs w:val="28"/>
        </w:rPr>
        <w:t>», с использованием плана счетов бухгалтерского учета, разработанного на основании Типового плана счетов бухгалтерского учета, утвержденного постановлением Минфина РБ от 29.06.2011 г. №50. Учет осуществляется штатным</w:t>
      </w:r>
      <w:r w:rsidR="004956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работникам в количестве </w:t>
      </w:r>
      <w:r w:rsidR="00C401CE">
        <w:rPr>
          <w:rFonts w:ascii="Times New Roman" w:hAnsi="Times New Roman" w:cs="Times New Roman"/>
          <w:sz w:val="28"/>
          <w:szCs w:val="28"/>
        </w:rPr>
        <w:t>четырех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1CE" w:rsidRDefault="00D90FB8" w:rsidP="00BC341F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0F536C">
        <w:rPr>
          <w:rFonts w:ascii="Times New Roman" w:hAnsi="Times New Roman" w:cs="Times New Roman"/>
          <w:b/>
          <w:bCs/>
          <w:sz w:val="32"/>
          <w:szCs w:val="32"/>
        </w:rPr>
        <w:t>Аналитическая часть</w:t>
      </w:r>
      <w:r w:rsidR="000F536C">
        <w:rPr>
          <w:rFonts w:ascii="Times New Roman,Bold" w:hAnsi="Times New Roman,Bold" w:cs="Times New Roman,Bold"/>
          <w:b/>
          <w:bCs/>
          <w:sz w:val="32"/>
          <w:szCs w:val="32"/>
        </w:rPr>
        <w:t>.</w:t>
      </w:r>
    </w:p>
    <w:p w:rsidR="004D29C6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Исходя из спецификации деятельности ОАО «</w:t>
      </w:r>
      <w:r w:rsidR="004D29C6">
        <w:rPr>
          <w:rFonts w:ascii="Times New Roman" w:hAnsi="Times New Roman" w:cs="Times New Roman"/>
          <w:sz w:val="28"/>
          <w:szCs w:val="28"/>
        </w:rPr>
        <w:t>Новая Нива</w:t>
      </w:r>
      <w:r>
        <w:rPr>
          <w:rFonts w:ascii="Times New Roman" w:hAnsi="Times New Roman" w:cs="Times New Roman"/>
          <w:sz w:val="28"/>
          <w:szCs w:val="28"/>
        </w:rPr>
        <w:t>», валовая выручка за 20</w:t>
      </w:r>
      <w:r w:rsidR="004D29C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4D29C6">
        <w:rPr>
          <w:rFonts w:ascii="Times New Roman" w:hAnsi="Times New Roman" w:cs="Times New Roman"/>
          <w:sz w:val="28"/>
          <w:szCs w:val="28"/>
        </w:rPr>
        <w:t>11700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принятой учетной политикой, д</w:t>
      </w:r>
      <w:r w:rsidR="004C5012">
        <w:rPr>
          <w:rFonts w:ascii="Times New Roman" w:hAnsi="Times New Roman" w:cs="Times New Roman"/>
          <w:sz w:val="28"/>
          <w:szCs w:val="28"/>
        </w:rPr>
        <w:t>атой принятия имущества на учет</w:t>
      </w:r>
      <w:r>
        <w:rPr>
          <w:rFonts w:ascii="Times New Roman" w:hAnsi="Times New Roman" w:cs="Times New Roman"/>
          <w:sz w:val="28"/>
          <w:szCs w:val="28"/>
        </w:rPr>
        <w:t xml:space="preserve"> является дата его фактического получения, указан</w:t>
      </w:r>
      <w:r w:rsidR="004C5012">
        <w:rPr>
          <w:rFonts w:ascii="Times New Roman" w:hAnsi="Times New Roman" w:cs="Times New Roman"/>
          <w:sz w:val="28"/>
          <w:szCs w:val="28"/>
        </w:rPr>
        <w:t>ная в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и иных документах, которые в соответствии с законодательством, соглашением стор</w:t>
      </w:r>
      <w:r w:rsidR="004C5012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для подтверждения совершения сделок. Первоначальная стоимость основных средств по состоянию на 01.01.20</w:t>
      </w:r>
      <w:r w:rsidR="004C501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г. составила </w:t>
      </w:r>
      <w:r w:rsidR="004C5012">
        <w:rPr>
          <w:rFonts w:ascii="Times New Roman" w:hAnsi="Times New Roman" w:cs="Times New Roman"/>
          <w:sz w:val="28"/>
          <w:szCs w:val="28"/>
        </w:rPr>
        <w:t>51039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по состоянию на 31.12.20</w:t>
      </w:r>
      <w:r w:rsidR="004C501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г. составляет </w:t>
      </w:r>
      <w:r w:rsidR="004C5012">
        <w:rPr>
          <w:rFonts w:ascii="Times New Roman" w:hAnsi="Times New Roman" w:cs="Times New Roman"/>
          <w:sz w:val="28"/>
          <w:szCs w:val="28"/>
        </w:rPr>
        <w:t>52858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Переоценка основных средств по состоянию на 01.01.20</w:t>
      </w:r>
      <w:r w:rsidR="004C5012">
        <w:rPr>
          <w:rFonts w:ascii="Times New Roman" w:hAnsi="Times New Roman" w:cs="Times New Roman"/>
          <w:sz w:val="28"/>
          <w:szCs w:val="28"/>
        </w:rPr>
        <w:t xml:space="preserve">25г. </w:t>
      </w:r>
      <w:r w:rsidR="00BC341F">
        <w:rPr>
          <w:rFonts w:ascii="Times New Roman" w:hAnsi="Times New Roman" w:cs="Times New Roman"/>
          <w:sz w:val="28"/>
          <w:szCs w:val="28"/>
        </w:rPr>
        <w:t xml:space="preserve"> проводилась частично (здания и сооружения).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Амортизация начисляется линейным способом согласно нормативным срокам службы, установленных постановлением Министерства экономики РБ от 30.09.2011г. и постановлением Министерства экономики РБ, Министерства финансов РБ и Министерства архитектуры и строительства РБ от 27.02.2009 №37/18/6 и на основании решения комиссии по проведению амортизационной по</w:t>
      </w:r>
      <w:r w:rsidR="00BC341F">
        <w:rPr>
          <w:rFonts w:ascii="Times New Roman" w:hAnsi="Times New Roman" w:cs="Times New Roman"/>
          <w:sz w:val="28"/>
          <w:szCs w:val="28"/>
        </w:rPr>
        <w:t>литики, созданной на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начисленной амортизации за 20</w:t>
      </w:r>
      <w:r w:rsidR="004C501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4C5012">
        <w:rPr>
          <w:rFonts w:ascii="Times New Roman" w:hAnsi="Times New Roman" w:cs="Times New Roman"/>
          <w:sz w:val="28"/>
          <w:szCs w:val="28"/>
        </w:rPr>
        <w:t>1106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сумма накопленной амортизации на предприятии по состоянию на 31.12.20</w:t>
      </w:r>
      <w:r w:rsidR="004C501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4C5012">
        <w:rPr>
          <w:rFonts w:ascii="Times New Roman" w:hAnsi="Times New Roman" w:cs="Times New Roman"/>
          <w:sz w:val="28"/>
          <w:szCs w:val="28"/>
        </w:rPr>
        <w:t>13090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Согласно учетной политики, учет запасов на предприятии ведется по фактической себестоимости.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состоянию на 31.12.20</w:t>
      </w:r>
      <w:r w:rsidR="004C501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г. запасы на предприятии составляет </w:t>
      </w:r>
      <w:r w:rsidR="004C5012">
        <w:rPr>
          <w:rFonts w:ascii="Times New Roman" w:hAnsi="Times New Roman" w:cs="Times New Roman"/>
          <w:sz w:val="28"/>
          <w:szCs w:val="28"/>
        </w:rPr>
        <w:t>16512</w:t>
      </w:r>
      <w:r w:rsidR="00BA7D58">
        <w:rPr>
          <w:rFonts w:ascii="Times New Roman" w:hAnsi="Times New Roman" w:cs="Times New Roman"/>
          <w:sz w:val="28"/>
          <w:szCs w:val="28"/>
        </w:rPr>
        <w:t xml:space="preserve"> тыс. руб., в </w:t>
      </w:r>
      <w:proofErr w:type="spellStart"/>
      <w:r w:rsidR="00BA7D5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A7D58">
        <w:rPr>
          <w:rFonts w:ascii="Times New Roman" w:hAnsi="Times New Roman" w:cs="Times New Roman"/>
          <w:sz w:val="28"/>
          <w:szCs w:val="28"/>
        </w:rPr>
        <w:t xml:space="preserve"> материалы 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сырьё и материалы, топливо, запасные части и др.) -</w:t>
      </w:r>
      <w:r w:rsidR="004C5012">
        <w:rPr>
          <w:rFonts w:ascii="Times New Roman" w:hAnsi="Times New Roman" w:cs="Times New Roman"/>
          <w:sz w:val="28"/>
          <w:szCs w:val="28"/>
        </w:rPr>
        <w:t>5037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имеется незавершенное производство Стоимость незавершенного производства на конец года составляют – </w:t>
      </w:r>
      <w:r w:rsidR="004C5012">
        <w:rPr>
          <w:rFonts w:ascii="Times New Roman" w:hAnsi="Times New Roman" w:cs="Times New Roman"/>
          <w:sz w:val="28"/>
          <w:szCs w:val="28"/>
        </w:rPr>
        <w:t>5955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В состав незавершенного произ</w:t>
      </w:r>
      <w:r w:rsidR="004C5012">
        <w:rPr>
          <w:rFonts w:ascii="Times New Roman" w:hAnsi="Times New Roman" w:cs="Times New Roman"/>
          <w:sz w:val="28"/>
          <w:szCs w:val="28"/>
        </w:rPr>
        <w:t>водства были отнесены материалы, затраченные на сев зерновых под урожай будущего года</w:t>
      </w:r>
      <w:r>
        <w:rPr>
          <w:rFonts w:ascii="Times New Roman" w:hAnsi="Times New Roman" w:cs="Times New Roman"/>
          <w:sz w:val="28"/>
          <w:szCs w:val="28"/>
        </w:rPr>
        <w:t>. Оценка незавершенного производства производится ежемесячно, исходя из затрат на производство.</w:t>
      </w:r>
    </w:p>
    <w:p w:rsidR="005E186F" w:rsidRPr="005E186F" w:rsidRDefault="000F536C" w:rsidP="00BC34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4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. </w:t>
      </w:r>
      <w:r w:rsidR="005E186F" w:rsidRPr="005E186F">
        <w:rPr>
          <w:rFonts w:ascii="Times New Roman" w:hAnsi="Times New Roman" w:cs="Times New Roman"/>
          <w:sz w:val="28"/>
          <w:szCs w:val="28"/>
        </w:rPr>
        <w:t xml:space="preserve">Учет и обобщение информации о затратах на производство продукции, выполнение работ и оказание услуг производится на счете 20 «Основное производство». </w:t>
      </w:r>
      <w:r w:rsidR="005E186F" w:rsidRPr="005E186F">
        <w:rPr>
          <w:rFonts w:ascii="Times New Roman" w:hAnsi="Times New Roman" w:cs="Times New Roman"/>
          <w:color w:val="000000"/>
          <w:sz w:val="28"/>
          <w:szCs w:val="28"/>
        </w:rPr>
        <w:t>К основному производству относят отрасли растениеводства, животноводства и промышленные производства.</w:t>
      </w:r>
    </w:p>
    <w:p w:rsidR="005E186F" w:rsidRPr="005E186F" w:rsidRDefault="005E186F" w:rsidP="00BC34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86F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аналитического учета затрат основного производства являются отдельные сельскохозяйственные культуры (группы однородных по технологии выращивания культур), виды или половозрастные группы животных, виды промышленных </w:t>
      </w:r>
      <w:proofErr w:type="gramStart"/>
      <w:r w:rsidRPr="005E186F">
        <w:rPr>
          <w:rFonts w:ascii="Times New Roman" w:hAnsi="Times New Roman" w:cs="Times New Roman"/>
          <w:sz w:val="28"/>
          <w:szCs w:val="28"/>
        </w:rPr>
        <w:t>производств .</w:t>
      </w:r>
      <w:proofErr w:type="gramEnd"/>
    </w:p>
    <w:p w:rsidR="005E186F" w:rsidRPr="005E186F" w:rsidRDefault="005E186F" w:rsidP="00BC341F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186F">
        <w:rPr>
          <w:rFonts w:ascii="Times New Roman" w:hAnsi="Times New Roman" w:cs="Times New Roman"/>
          <w:sz w:val="28"/>
          <w:szCs w:val="28"/>
        </w:rPr>
        <w:t xml:space="preserve">Затраты признаются в том отчетном периоде, к которому они относятся, независимо от времени их оплаты. </w:t>
      </w:r>
    </w:p>
    <w:p w:rsidR="005E186F" w:rsidRPr="005E186F" w:rsidRDefault="005E186F" w:rsidP="00BC34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86F">
        <w:rPr>
          <w:rFonts w:ascii="Times New Roman" w:hAnsi="Times New Roman" w:cs="Times New Roman"/>
          <w:color w:val="000000"/>
          <w:sz w:val="28"/>
          <w:szCs w:val="28"/>
        </w:rPr>
        <w:t>Объектами учета затрат в растениеводстве являются сельскохозяйственные культуры, группы однородных по технологии выращивания культур; виды работ незавершенного производства; затраты, подлежащие распределению; прочие объекты.</w:t>
      </w:r>
    </w:p>
    <w:p w:rsidR="005E186F" w:rsidRPr="005E186F" w:rsidRDefault="005E186F" w:rsidP="00BC341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86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5E186F">
        <w:rPr>
          <w:rFonts w:ascii="Times New Roman" w:hAnsi="Times New Roman" w:cs="Times New Roman"/>
          <w:color w:val="000000"/>
          <w:sz w:val="28"/>
          <w:szCs w:val="28"/>
        </w:rPr>
        <w:t>невозможности  отнесения</w:t>
      </w:r>
      <w:proofErr w:type="gramEnd"/>
      <w:r w:rsidRPr="005E186F">
        <w:rPr>
          <w:rFonts w:ascii="Times New Roman" w:hAnsi="Times New Roman" w:cs="Times New Roman"/>
          <w:color w:val="000000"/>
          <w:sz w:val="28"/>
          <w:szCs w:val="28"/>
        </w:rPr>
        <w:t xml:space="preserve">  затрат на выполнение сельскохозяйственных работ на конкретную возделываемую культуру отчетного года, выделяются объекты учета затрат по выполняемым работам. Это относится к затратам под урожай будущих лет, т.е. к незавершенному производству растениеводства.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косвенных затрат на производство производится пропорционально расходам на оплату труда производственных рабочих по видам продукции. Расходы на производство продукции в 20</w:t>
      </w:r>
      <w:r w:rsidR="005E186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5E186F">
        <w:rPr>
          <w:rFonts w:ascii="Times New Roman" w:hAnsi="Times New Roman" w:cs="Times New Roman"/>
          <w:sz w:val="28"/>
          <w:szCs w:val="28"/>
        </w:rPr>
        <w:t>18223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сырье и материалы – </w:t>
      </w:r>
      <w:r w:rsidR="005E186F">
        <w:rPr>
          <w:rFonts w:ascii="Times New Roman" w:hAnsi="Times New Roman" w:cs="Times New Roman"/>
          <w:sz w:val="28"/>
          <w:szCs w:val="28"/>
        </w:rPr>
        <w:t>13404</w:t>
      </w:r>
      <w:r>
        <w:rPr>
          <w:rFonts w:ascii="Times New Roman" w:hAnsi="Times New Roman" w:cs="Times New Roman"/>
          <w:sz w:val="28"/>
          <w:szCs w:val="28"/>
        </w:rPr>
        <w:t xml:space="preserve"> тыс. руб., заработная плата</w:t>
      </w:r>
      <w:r w:rsidR="005E186F">
        <w:rPr>
          <w:rFonts w:ascii="Times New Roman" w:hAnsi="Times New Roman" w:cs="Times New Roman"/>
          <w:sz w:val="28"/>
          <w:szCs w:val="28"/>
        </w:rPr>
        <w:t xml:space="preserve"> с отчислениями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E186F">
        <w:rPr>
          <w:rFonts w:ascii="Times New Roman" w:hAnsi="Times New Roman" w:cs="Times New Roman"/>
          <w:sz w:val="28"/>
          <w:szCs w:val="28"/>
        </w:rPr>
        <w:t>2830</w:t>
      </w:r>
      <w:r>
        <w:rPr>
          <w:rFonts w:ascii="Times New Roman" w:hAnsi="Times New Roman" w:cs="Times New Roman"/>
          <w:sz w:val="28"/>
          <w:szCs w:val="28"/>
        </w:rPr>
        <w:t xml:space="preserve"> тыс. руб., амортизация ОС – </w:t>
      </w:r>
      <w:r w:rsidR="005E186F">
        <w:rPr>
          <w:rFonts w:ascii="Times New Roman" w:hAnsi="Times New Roman" w:cs="Times New Roman"/>
          <w:sz w:val="28"/>
          <w:szCs w:val="28"/>
        </w:rPr>
        <w:t>933</w:t>
      </w:r>
      <w:r>
        <w:rPr>
          <w:rFonts w:ascii="Times New Roman" w:hAnsi="Times New Roman" w:cs="Times New Roman"/>
          <w:sz w:val="28"/>
          <w:szCs w:val="28"/>
        </w:rPr>
        <w:t xml:space="preserve"> тыс. руб., электроэнергия – </w:t>
      </w:r>
      <w:r w:rsidR="005E186F">
        <w:rPr>
          <w:rFonts w:ascii="Times New Roman" w:hAnsi="Times New Roman" w:cs="Times New Roman"/>
          <w:sz w:val="28"/>
          <w:szCs w:val="28"/>
        </w:rPr>
        <w:t>352</w:t>
      </w:r>
      <w:r>
        <w:rPr>
          <w:rFonts w:ascii="Times New Roman" w:hAnsi="Times New Roman" w:cs="Times New Roman"/>
          <w:sz w:val="28"/>
          <w:szCs w:val="28"/>
        </w:rPr>
        <w:t xml:space="preserve"> тыс. руб., прочие услуги сторонних организаций и прочие расходы – </w:t>
      </w:r>
      <w:r w:rsidR="005E186F">
        <w:rPr>
          <w:rFonts w:ascii="Times New Roman" w:hAnsi="Times New Roman" w:cs="Times New Roman"/>
          <w:sz w:val="28"/>
          <w:szCs w:val="28"/>
        </w:rPr>
        <w:t>704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объем реализованной продукции за 20</w:t>
      </w:r>
      <w:r w:rsidR="005E186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5E186F">
        <w:rPr>
          <w:rFonts w:ascii="Times New Roman" w:hAnsi="Times New Roman" w:cs="Times New Roman"/>
          <w:sz w:val="28"/>
          <w:szCs w:val="28"/>
        </w:rPr>
        <w:t>12679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т. числе себестоимость реализованной продукции -</w:t>
      </w:r>
      <w:r w:rsidR="005E186F">
        <w:rPr>
          <w:rFonts w:ascii="Times New Roman" w:hAnsi="Times New Roman" w:cs="Times New Roman"/>
          <w:sz w:val="28"/>
          <w:szCs w:val="28"/>
        </w:rPr>
        <w:t>12352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управленческие расходы – </w:t>
      </w:r>
      <w:r w:rsidR="005E186F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рублей,.</w:t>
      </w:r>
      <w:proofErr w:type="gramEnd"/>
    </w:p>
    <w:p w:rsidR="005E186F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Порядок распределения прибыли устанавливается общим собранием акционеров. 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lastRenderedPageBreak/>
        <w:t xml:space="preserve">6. </w:t>
      </w:r>
      <w:r>
        <w:rPr>
          <w:rFonts w:ascii="Times New Roman" w:hAnsi="Times New Roman" w:cs="Times New Roman"/>
          <w:sz w:val="28"/>
          <w:szCs w:val="28"/>
        </w:rPr>
        <w:t>Предприятие является плательщиком на</w:t>
      </w:r>
      <w:r w:rsidR="005E186F">
        <w:rPr>
          <w:rFonts w:ascii="Times New Roman" w:hAnsi="Times New Roman" w:cs="Times New Roman"/>
          <w:sz w:val="28"/>
          <w:szCs w:val="28"/>
        </w:rPr>
        <w:t>лога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. Моментом опреде</w:t>
      </w:r>
      <w:r w:rsidR="00BC341F">
        <w:rPr>
          <w:rFonts w:ascii="Times New Roman" w:hAnsi="Times New Roman" w:cs="Times New Roman"/>
          <w:sz w:val="28"/>
          <w:szCs w:val="28"/>
        </w:rPr>
        <w:t xml:space="preserve">ления выручки </w:t>
      </w:r>
      <w:r>
        <w:rPr>
          <w:rFonts w:ascii="Times New Roman" w:hAnsi="Times New Roman" w:cs="Times New Roman"/>
          <w:sz w:val="28"/>
          <w:szCs w:val="28"/>
        </w:rPr>
        <w:t>является день отгрузки продукции (товаров</w:t>
      </w:r>
      <w:r w:rsidR="00CC16CE">
        <w:rPr>
          <w:rFonts w:ascii="Times New Roman" w:hAnsi="Times New Roman" w:cs="Times New Roman"/>
          <w:sz w:val="28"/>
          <w:szCs w:val="28"/>
        </w:rPr>
        <w:t xml:space="preserve">, выполнения </w:t>
      </w:r>
      <w:r>
        <w:rPr>
          <w:rFonts w:ascii="Times New Roman" w:hAnsi="Times New Roman" w:cs="Times New Roman"/>
          <w:sz w:val="28"/>
          <w:szCs w:val="28"/>
        </w:rPr>
        <w:t>работ, оказания услуг) покупателю, заказчику – признается дата отгрузки продукции (товаров, выполненных работ, оказанных услуг) покупателю, заказчику с учетом ч.2 п.1 ст.100 НК РБ.</w:t>
      </w:r>
    </w:p>
    <w:p w:rsidR="000F536C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Покупателям и заказчикам выставляются ЭСЧФ.</w:t>
      </w:r>
    </w:p>
    <w:p w:rsidR="00CC16CE" w:rsidRPr="00CC16CE" w:rsidRDefault="00CC16CE" w:rsidP="00BC34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6CE">
        <w:rPr>
          <w:rFonts w:ascii="Times New Roman" w:hAnsi="Times New Roman" w:cs="Times New Roman"/>
          <w:sz w:val="28"/>
          <w:szCs w:val="28"/>
        </w:rPr>
        <w:t>Осуществление налоговых вычетов НДС при приобретении товаров, работ, услуг осуществлять независимо от периода погашения задолженности. Вычеты по основным средст</w:t>
      </w:r>
      <w:r>
        <w:rPr>
          <w:rFonts w:ascii="Times New Roman" w:hAnsi="Times New Roman" w:cs="Times New Roman"/>
          <w:sz w:val="28"/>
          <w:szCs w:val="28"/>
        </w:rPr>
        <w:t>вам принимать как по товарам, л</w:t>
      </w:r>
      <w:r w:rsidRPr="00CC16CE">
        <w:rPr>
          <w:rFonts w:ascii="Times New Roman" w:hAnsi="Times New Roman" w:cs="Times New Roman"/>
          <w:sz w:val="28"/>
          <w:szCs w:val="28"/>
        </w:rPr>
        <w:t>изинг прошлых лет по графикам оплаты.</w:t>
      </w:r>
    </w:p>
    <w:p w:rsidR="00CC16CE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</w:t>
      </w:r>
      <w:r w:rsidR="00CC16CE">
        <w:rPr>
          <w:rFonts w:ascii="Times New Roman" w:hAnsi="Times New Roman" w:cs="Times New Roman"/>
          <w:sz w:val="28"/>
          <w:szCs w:val="28"/>
        </w:rPr>
        <w:t>книга покупок не ведется.</w:t>
      </w:r>
    </w:p>
    <w:p w:rsidR="000F536C" w:rsidRPr="00D90FB8" w:rsidRDefault="000F536C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7. </w:t>
      </w:r>
      <w:r w:rsidR="00CC16CE">
        <w:rPr>
          <w:rFonts w:ascii="Times New Roman" w:hAnsi="Times New Roman" w:cs="Times New Roman"/>
          <w:sz w:val="28"/>
          <w:szCs w:val="28"/>
        </w:rPr>
        <w:t>Убыток от реализации продукции,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 за 20</w:t>
      </w:r>
      <w:r w:rsidR="00CC16C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C16CE">
        <w:rPr>
          <w:rFonts w:ascii="Times New Roman" w:hAnsi="Times New Roman" w:cs="Times New Roman"/>
          <w:sz w:val="28"/>
          <w:szCs w:val="28"/>
        </w:rPr>
        <w:t>2152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Доходы от прочей текущей деятельности составили – </w:t>
      </w:r>
      <w:r w:rsidR="00CC16CE">
        <w:rPr>
          <w:rFonts w:ascii="Times New Roman" w:hAnsi="Times New Roman" w:cs="Times New Roman"/>
          <w:sz w:val="28"/>
          <w:szCs w:val="28"/>
        </w:rPr>
        <w:t>2823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Прочие расходы по текущей </w:t>
      </w:r>
      <w:r w:rsidRPr="00D90FB8">
        <w:rPr>
          <w:rFonts w:ascii="Times New Roman" w:hAnsi="Times New Roman" w:cs="Times New Roman"/>
          <w:sz w:val="28"/>
          <w:szCs w:val="28"/>
        </w:rPr>
        <w:t>деятельности за 20</w:t>
      </w:r>
      <w:r w:rsidR="00CC16CE" w:rsidRPr="00D90FB8">
        <w:rPr>
          <w:rFonts w:ascii="Times New Roman" w:hAnsi="Times New Roman" w:cs="Times New Roman"/>
          <w:sz w:val="28"/>
          <w:szCs w:val="28"/>
        </w:rPr>
        <w:t>24</w:t>
      </w:r>
      <w:r w:rsidRPr="00D90FB8">
        <w:rPr>
          <w:rFonts w:ascii="Times New Roman" w:hAnsi="Times New Roman" w:cs="Times New Roman"/>
          <w:sz w:val="28"/>
          <w:szCs w:val="28"/>
        </w:rPr>
        <w:t xml:space="preserve"> год составили – </w:t>
      </w:r>
      <w:r w:rsidR="00CC16CE" w:rsidRPr="00D90FB8">
        <w:rPr>
          <w:rFonts w:ascii="Times New Roman" w:hAnsi="Times New Roman" w:cs="Times New Roman"/>
          <w:sz w:val="28"/>
          <w:szCs w:val="28"/>
        </w:rPr>
        <w:t xml:space="preserve">601 тыс. рублей. </w:t>
      </w:r>
      <w:r w:rsidRPr="00D90FB8">
        <w:rPr>
          <w:rFonts w:ascii="Times New Roman" w:hAnsi="Times New Roman" w:cs="Times New Roman"/>
          <w:sz w:val="28"/>
          <w:szCs w:val="28"/>
        </w:rPr>
        <w:t>Прибыль предприятия от текущей деятельности за 20</w:t>
      </w:r>
      <w:r w:rsidR="00CC16CE" w:rsidRPr="00D90FB8">
        <w:rPr>
          <w:rFonts w:ascii="Times New Roman" w:hAnsi="Times New Roman" w:cs="Times New Roman"/>
          <w:sz w:val="28"/>
          <w:szCs w:val="28"/>
        </w:rPr>
        <w:t>24</w:t>
      </w:r>
      <w:r w:rsidRPr="00D90FB8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CC16CE" w:rsidRPr="00D90FB8">
        <w:rPr>
          <w:rFonts w:ascii="Times New Roman" w:hAnsi="Times New Roman" w:cs="Times New Roman"/>
          <w:sz w:val="28"/>
          <w:szCs w:val="28"/>
        </w:rPr>
        <w:t>70</w:t>
      </w:r>
      <w:r w:rsidRPr="00D90FB8">
        <w:rPr>
          <w:rFonts w:ascii="Times New Roman" w:hAnsi="Times New Roman" w:cs="Times New Roman"/>
          <w:sz w:val="28"/>
          <w:szCs w:val="28"/>
        </w:rPr>
        <w:t xml:space="preserve"> тыс.</w:t>
      </w:r>
      <w:r w:rsidR="00CC16CE" w:rsidRPr="00D90FB8">
        <w:rPr>
          <w:rFonts w:ascii="Times New Roman" w:hAnsi="Times New Roman" w:cs="Times New Roman"/>
          <w:sz w:val="28"/>
          <w:szCs w:val="28"/>
        </w:rPr>
        <w:t xml:space="preserve"> </w:t>
      </w:r>
      <w:r w:rsidRPr="00D90FB8">
        <w:rPr>
          <w:rFonts w:ascii="Times New Roman" w:hAnsi="Times New Roman" w:cs="Times New Roman"/>
          <w:sz w:val="28"/>
          <w:szCs w:val="28"/>
        </w:rPr>
        <w:t xml:space="preserve">рублей. Доходы от </w:t>
      </w:r>
      <w:r w:rsidR="00163227" w:rsidRPr="00D90FB8">
        <w:rPr>
          <w:rFonts w:ascii="Times New Roman" w:hAnsi="Times New Roman" w:cs="Times New Roman"/>
          <w:sz w:val="28"/>
          <w:szCs w:val="28"/>
        </w:rPr>
        <w:t>инвестиционной</w:t>
      </w:r>
      <w:r w:rsidRPr="00D90FB8">
        <w:rPr>
          <w:rFonts w:ascii="Times New Roman" w:hAnsi="Times New Roman" w:cs="Times New Roman"/>
          <w:sz w:val="28"/>
          <w:szCs w:val="28"/>
        </w:rPr>
        <w:t xml:space="preserve"> деятельности предприятия за 20</w:t>
      </w:r>
      <w:r w:rsidR="00CC16CE" w:rsidRPr="00D90FB8">
        <w:rPr>
          <w:rFonts w:ascii="Times New Roman" w:hAnsi="Times New Roman" w:cs="Times New Roman"/>
          <w:sz w:val="28"/>
          <w:szCs w:val="28"/>
        </w:rPr>
        <w:t>24</w:t>
      </w:r>
      <w:r w:rsidRPr="00D90FB8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163227" w:rsidRPr="00D90FB8">
        <w:rPr>
          <w:rFonts w:ascii="Times New Roman" w:hAnsi="Times New Roman" w:cs="Times New Roman"/>
          <w:sz w:val="28"/>
          <w:szCs w:val="28"/>
        </w:rPr>
        <w:t>1138</w:t>
      </w:r>
      <w:r w:rsidRPr="00D90FB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3227" w:rsidRPr="00D90FB8">
        <w:rPr>
          <w:rFonts w:ascii="Times New Roman" w:hAnsi="Times New Roman" w:cs="Times New Roman"/>
          <w:sz w:val="28"/>
          <w:szCs w:val="28"/>
        </w:rPr>
        <w:t>р</w:t>
      </w:r>
      <w:r w:rsidRPr="00D90FB8">
        <w:rPr>
          <w:rFonts w:ascii="Times New Roman" w:hAnsi="Times New Roman" w:cs="Times New Roman"/>
          <w:sz w:val="28"/>
          <w:szCs w:val="28"/>
        </w:rPr>
        <w:t xml:space="preserve">асходы по </w:t>
      </w:r>
      <w:r w:rsidR="00163227" w:rsidRPr="00D90FB8">
        <w:rPr>
          <w:rFonts w:ascii="Times New Roman" w:hAnsi="Times New Roman" w:cs="Times New Roman"/>
          <w:sz w:val="28"/>
          <w:szCs w:val="28"/>
        </w:rPr>
        <w:t>инвестиционной</w:t>
      </w:r>
      <w:r w:rsidRPr="00D90FB8">
        <w:rPr>
          <w:rFonts w:ascii="Times New Roman" w:hAnsi="Times New Roman" w:cs="Times New Roman"/>
          <w:sz w:val="28"/>
          <w:szCs w:val="28"/>
        </w:rPr>
        <w:t xml:space="preserve"> деятельности за 20</w:t>
      </w:r>
      <w:r w:rsidR="00163227" w:rsidRPr="00D90FB8">
        <w:rPr>
          <w:rFonts w:ascii="Times New Roman" w:hAnsi="Times New Roman" w:cs="Times New Roman"/>
          <w:sz w:val="28"/>
          <w:szCs w:val="28"/>
        </w:rPr>
        <w:t>24</w:t>
      </w:r>
      <w:r w:rsidRPr="00D90FB8">
        <w:rPr>
          <w:rFonts w:ascii="Times New Roman" w:hAnsi="Times New Roman" w:cs="Times New Roman"/>
          <w:sz w:val="28"/>
          <w:szCs w:val="28"/>
        </w:rPr>
        <w:t xml:space="preserve"> год составили</w:t>
      </w:r>
      <w:r w:rsidR="00163227" w:rsidRPr="00D90FB8">
        <w:rPr>
          <w:rFonts w:ascii="Times New Roman" w:hAnsi="Times New Roman" w:cs="Times New Roman"/>
          <w:sz w:val="28"/>
          <w:szCs w:val="28"/>
        </w:rPr>
        <w:t xml:space="preserve"> </w:t>
      </w:r>
      <w:r w:rsidRPr="00D90FB8">
        <w:rPr>
          <w:rFonts w:ascii="Times New Roman" w:hAnsi="Times New Roman" w:cs="Times New Roman"/>
          <w:sz w:val="28"/>
          <w:szCs w:val="28"/>
        </w:rPr>
        <w:t>-</w:t>
      </w:r>
      <w:r w:rsidR="00163227" w:rsidRPr="00D90FB8">
        <w:rPr>
          <w:rFonts w:ascii="Times New Roman" w:hAnsi="Times New Roman" w:cs="Times New Roman"/>
          <w:sz w:val="28"/>
          <w:szCs w:val="28"/>
        </w:rPr>
        <w:t>157</w:t>
      </w:r>
      <w:r w:rsidRPr="00D90FB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3227" w:rsidRPr="00D90FB8">
        <w:rPr>
          <w:rFonts w:ascii="Times New Roman" w:hAnsi="Times New Roman" w:cs="Times New Roman"/>
          <w:sz w:val="28"/>
          <w:szCs w:val="28"/>
        </w:rPr>
        <w:t>расходы по финансовой деятельности за 2024 год составили – 6 тыс. рублей</w:t>
      </w:r>
      <w:r w:rsidRPr="00D90FB8">
        <w:rPr>
          <w:rFonts w:ascii="Times New Roman" w:hAnsi="Times New Roman" w:cs="Times New Roman"/>
          <w:sz w:val="28"/>
          <w:szCs w:val="28"/>
        </w:rPr>
        <w:t>. Прибыль от инвестиционной и финансовой деятельности составила -</w:t>
      </w:r>
      <w:r w:rsidR="00163227" w:rsidRPr="00D90FB8">
        <w:rPr>
          <w:rFonts w:ascii="Times New Roman" w:hAnsi="Times New Roman" w:cs="Times New Roman"/>
          <w:sz w:val="28"/>
          <w:szCs w:val="28"/>
        </w:rPr>
        <w:t>975</w:t>
      </w:r>
      <w:r w:rsidRPr="00D90FB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F536C" w:rsidRPr="00D90FB8" w:rsidRDefault="00163227" w:rsidP="00BC34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0FB8">
        <w:rPr>
          <w:rFonts w:ascii="Times New Roman" w:hAnsi="Times New Roman" w:cs="Times New Roman"/>
          <w:sz w:val="28"/>
          <w:szCs w:val="28"/>
        </w:rPr>
        <w:t>Ч</w:t>
      </w:r>
      <w:r w:rsidR="000F536C" w:rsidRPr="00D90FB8">
        <w:rPr>
          <w:rFonts w:ascii="Times New Roman" w:hAnsi="Times New Roman" w:cs="Times New Roman"/>
          <w:sz w:val="28"/>
          <w:szCs w:val="28"/>
        </w:rPr>
        <w:t>истая прибыль за 20</w:t>
      </w:r>
      <w:r w:rsidRPr="00D90FB8">
        <w:rPr>
          <w:rFonts w:ascii="Times New Roman" w:hAnsi="Times New Roman" w:cs="Times New Roman"/>
          <w:sz w:val="28"/>
          <w:szCs w:val="28"/>
        </w:rPr>
        <w:t>24</w:t>
      </w:r>
      <w:r w:rsidR="000F536C" w:rsidRPr="00D90FB8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Pr="00D90FB8">
        <w:rPr>
          <w:rFonts w:ascii="Times New Roman" w:hAnsi="Times New Roman" w:cs="Times New Roman"/>
          <w:sz w:val="28"/>
          <w:szCs w:val="28"/>
        </w:rPr>
        <w:t>1045</w:t>
      </w:r>
      <w:r w:rsidR="000F536C" w:rsidRPr="00D90FB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90FB8">
        <w:rPr>
          <w:rFonts w:ascii="Times New Roman" w:hAnsi="Times New Roman" w:cs="Times New Roman"/>
          <w:sz w:val="28"/>
          <w:szCs w:val="28"/>
        </w:rPr>
        <w:t xml:space="preserve"> </w:t>
      </w:r>
      <w:r w:rsidR="000F536C" w:rsidRPr="00D90FB8">
        <w:rPr>
          <w:rFonts w:ascii="Times New Roman" w:hAnsi="Times New Roman" w:cs="Times New Roman"/>
          <w:sz w:val="28"/>
          <w:szCs w:val="28"/>
        </w:rPr>
        <w:t>рублей.</w:t>
      </w:r>
    </w:p>
    <w:p w:rsidR="00D90FB8" w:rsidRPr="00D90FB8" w:rsidRDefault="00D90FB8" w:rsidP="00D90FB8">
      <w:pPr>
        <w:pStyle w:val="a3"/>
        <w:tabs>
          <w:tab w:val="left" w:pos="1846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90FB8" w:rsidRPr="00D90FB8" w:rsidRDefault="00D90FB8" w:rsidP="00D90FB8">
      <w:pPr>
        <w:tabs>
          <w:tab w:val="left" w:pos="184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D90FB8">
        <w:rPr>
          <w:rFonts w:ascii="Times New Roman" w:hAnsi="Times New Roman" w:cs="Times New Roman"/>
          <w:b/>
          <w:sz w:val="28"/>
          <w:szCs w:val="28"/>
          <w:u w:val="single"/>
        </w:rPr>
        <w:t>Чистые активы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4540"/>
        <w:gridCol w:w="2071"/>
        <w:gridCol w:w="2071"/>
      </w:tblGrid>
      <w:tr w:rsidR="00D90FB8" w:rsidRPr="00D90FB8" w:rsidTr="002B0F1E">
        <w:tc>
          <w:tcPr>
            <w:tcW w:w="567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FB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14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FB8">
              <w:rPr>
                <w:rFonts w:ascii="Times New Roman" w:hAnsi="Times New Roman" w:cs="Times New Roman"/>
                <w:sz w:val="28"/>
                <w:szCs w:val="28"/>
              </w:rPr>
              <w:t>На 31 декабря 2023</w:t>
            </w:r>
          </w:p>
        </w:tc>
        <w:tc>
          <w:tcPr>
            <w:tcW w:w="2114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FB8">
              <w:rPr>
                <w:rFonts w:ascii="Times New Roman" w:hAnsi="Times New Roman" w:cs="Times New Roman"/>
                <w:sz w:val="28"/>
                <w:szCs w:val="28"/>
              </w:rPr>
              <w:t>На 31 декабря 2024</w:t>
            </w:r>
          </w:p>
        </w:tc>
      </w:tr>
      <w:tr w:rsidR="00D90FB8" w:rsidRPr="00D90FB8" w:rsidTr="002B0F1E">
        <w:tc>
          <w:tcPr>
            <w:tcW w:w="567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FB8"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</w:t>
            </w:r>
          </w:p>
        </w:tc>
        <w:tc>
          <w:tcPr>
            <w:tcW w:w="2114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FB8">
              <w:rPr>
                <w:rFonts w:ascii="Times New Roman" w:hAnsi="Times New Roman" w:cs="Times New Roman"/>
                <w:sz w:val="28"/>
                <w:szCs w:val="28"/>
              </w:rPr>
              <w:t>11160</w:t>
            </w:r>
          </w:p>
        </w:tc>
        <w:tc>
          <w:tcPr>
            <w:tcW w:w="2114" w:type="dxa"/>
          </w:tcPr>
          <w:p w:rsidR="00D90FB8" w:rsidRPr="00D90FB8" w:rsidRDefault="00D90FB8" w:rsidP="00D90FB8">
            <w:pPr>
              <w:pStyle w:val="a3"/>
              <w:tabs>
                <w:tab w:val="left" w:pos="184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0FB8">
              <w:rPr>
                <w:rFonts w:ascii="Times New Roman" w:hAnsi="Times New Roman" w:cs="Times New Roman"/>
                <w:sz w:val="28"/>
                <w:szCs w:val="28"/>
              </w:rPr>
              <w:t>12907</w:t>
            </w:r>
          </w:p>
        </w:tc>
      </w:tr>
    </w:tbl>
    <w:p w:rsidR="00D90FB8" w:rsidRPr="00D90FB8" w:rsidRDefault="00D90FB8" w:rsidP="00D90FB8">
      <w:pPr>
        <w:pStyle w:val="a3"/>
        <w:tabs>
          <w:tab w:val="left" w:pos="1846"/>
        </w:tabs>
        <w:spacing w:after="0"/>
        <w:ind w:left="1116"/>
        <w:rPr>
          <w:rFonts w:ascii="Times New Roman" w:hAnsi="Times New Roman" w:cs="Times New Roman"/>
          <w:sz w:val="28"/>
          <w:szCs w:val="28"/>
        </w:rPr>
      </w:pPr>
    </w:p>
    <w:p w:rsidR="00D90FB8" w:rsidRDefault="00D90FB8" w:rsidP="00D90FB8">
      <w:pPr>
        <w:pStyle w:val="a3"/>
        <w:tabs>
          <w:tab w:val="left" w:pos="1846"/>
        </w:tabs>
        <w:spacing w:after="0"/>
        <w:ind w:left="1116"/>
        <w:rPr>
          <w:rFonts w:ascii="Times New Roman" w:hAnsi="Times New Roman" w:cs="Times New Roman"/>
          <w:sz w:val="28"/>
          <w:szCs w:val="28"/>
        </w:rPr>
      </w:pPr>
    </w:p>
    <w:p w:rsidR="00BC341F" w:rsidRDefault="00BC341F" w:rsidP="00D90FB8">
      <w:pPr>
        <w:pStyle w:val="Default"/>
        <w:spacing w:line="276" w:lineRule="auto"/>
        <w:rPr>
          <w:sz w:val="28"/>
          <w:szCs w:val="28"/>
        </w:rPr>
      </w:pPr>
    </w:p>
    <w:p w:rsidR="00BC341F" w:rsidRDefault="00BC341F" w:rsidP="00D90FB8">
      <w:pPr>
        <w:pStyle w:val="Default"/>
        <w:spacing w:line="276" w:lineRule="auto"/>
        <w:rPr>
          <w:sz w:val="28"/>
          <w:szCs w:val="28"/>
        </w:rPr>
      </w:pPr>
    </w:p>
    <w:p w:rsidR="00BC341F" w:rsidRDefault="00BC341F" w:rsidP="00BC341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BC341F" w:rsidRPr="00CA4231" w:rsidRDefault="00BC341F" w:rsidP="00BC341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ОАО «Новая </w:t>
      </w:r>
      <w:proofErr w:type="gramStart"/>
      <w:r>
        <w:rPr>
          <w:sz w:val="28"/>
          <w:szCs w:val="28"/>
        </w:rPr>
        <w:t xml:space="preserve">Нива»   </w:t>
      </w:r>
      <w:proofErr w:type="gramEnd"/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Н.А.Астапович</w:t>
      </w:r>
      <w:proofErr w:type="spellEnd"/>
    </w:p>
    <w:sectPr w:rsidR="00BC341F" w:rsidRPr="00CA4231" w:rsidSect="00BC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4661C"/>
    <w:multiLevelType w:val="multilevel"/>
    <w:tmpl w:val="7068DF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6D"/>
    <w:rsid w:val="00016F53"/>
    <w:rsid w:val="000F536C"/>
    <w:rsid w:val="00162AEC"/>
    <w:rsid w:val="00163227"/>
    <w:rsid w:val="00167692"/>
    <w:rsid w:val="002928C7"/>
    <w:rsid w:val="00472B2D"/>
    <w:rsid w:val="00495691"/>
    <w:rsid w:val="004A531E"/>
    <w:rsid w:val="004B3439"/>
    <w:rsid w:val="004C5012"/>
    <w:rsid w:val="004D29C6"/>
    <w:rsid w:val="005E186F"/>
    <w:rsid w:val="006231A1"/>
    <w:rsid w:val="006255D7"/>
    <w:rsid w:val="006764E8"/>
    <w:rsid w:val="006C596D"/>
    <w:rsid w:val="007A3887"/>
    <w:rsid w:val="007A49C6"/>
    <w:rsid w:val="007D2897"/>
    <w:rsid w:val="0089677C"/>
    <w:rsid w:val="00B427AC"/>
    <w:rsid w:val="00BA7D58"/>
    <w:rsid w:val="00BC341F"/>
    <w:rsid w:val="00BC6593"/>
    <w:rsid w:val="00C401CE"/>
    <w:rsid w:val="00C870ED"/>
    <w:rsid w:val="00CA4231"/>
    <w:rsid w:val="00CC16CE"/>
    <w:rsid w:val="00D90FB8"/>
    <w:rsid w:val="00DC4764"/>
    <w:rsid w:val="00E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F6FE"/>
  <w15:docId w15:val="{CA415978-C26A-4DD0-8478-87D12EE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96D"/>
    <w:pPr>
      <w:ind w:left="720"/>
      <w:contextualSpacing/>
    </w:pPr>
  </w:style>
  <w:style w:type="table" w:styleId="a4">
    <w:name w:val="Table Grid"/>
    <w:basedOn w:val="a1"/>
    <w:uiPriority w:val="59"/>
    <w:rsid w:val="00DC4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ustify">
    <w:name w:val="justify"/>
    <w:basedOn w:val="a"/>
    <w:rsid w:val="004D29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18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A4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112A-F36F-44DD-9F1A-734AF61E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2025-04-21T05:22:00Z</cp:lastPrinted>
  <dcterms:created xsi:type="dcterms:W3CDTF">2025-04-18T11:02:00Z</dcterms:created>
  <dcterms:modified xsi:type="dcterms:W3CDTF">2025-04-21T05:22:00Z</dcterms:modified>
</cp:coreProperties>
</file>